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A42FBD">
      <w:pPr>
        <w:pStyle w:val="Heading3"/>
        <w:jc w:val="right"/>
        <w:rPr>
          <w:sz w:val="24"/>
          <w:szCs w:val="24"/>
        </w:rPr>
      </w:pPr>
      <w:r w:rsidRPr="00144F78">
        <w:rPr>
          <w:sz w:val="24"/>
          <w:szCs w:val="24"/>
        </w:rPr>
        <w:t>APSTIPRINĀTS</w:t>
      </w:r>
    </w:p>
    <w:p w14:paraId="795F79B0" w14:textId="77777777" w:rsidR="003E0C48" w:rsidRPr="00144F78" w:rsidRDefault="00DF6B2E" w:rsidP="00A42FBD">
      <w:pPr>
        <w:jc w:val="right"/>
        <w:rPr>
          <w:sz w:val="24"/>
          <w:szCs w:val="24"/>
          <w:lang w:eastAsia="en-US"/>
        </w:rPr>
      </w:pPr>
      <w:r w:rsidRPr="00144F78">
        <w:rPr>
          <w:sz w:val="24"/>
          <w:szCs w:val="24"/>
          <w:lang w:eastAsia="en-US"/>
        </w:rPr>
        <w:t>Iepirkuma komisijas</w:t>
      </w:r>
    </w:p>
    <w:p w14:paraId="5ECC3C69" w14:textId="1828F5D4" w:rsidR="003E0C48" w:rsidRPr="00144F78" w:rsidRDefault="003D2D8B" w:rsidP="00A42FBD">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501605">
        <w:rPr>
          <w:sz w:val="24"/>
          <w:szCs w:val="24"/>
          <w:lang w:eastAsia="en-US"/>
        </w:rPr>
        <w:t>9.marta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A42FBD">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A42FBD">
      <w:pPr>
        <w:jc w:val="right"/>
        <w:rPr>
          <w:sz w:val="24"/>
          <w:szCs w:val="24"/>
          <w:lang w:eastAsia="en-US"/>
        </w:rPr>
      </w:pPr>
    </w:p>
    <w:p w14:paraId="32395A18" w14:textId="31483A23" w:rsidR="003E0C48" w:rsidRPr="00144F78" w:rsidRDefault="0008303B" w:rsidP="00A42FBD">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A42FBD">
      <w:pPr>
        <w:pStyle w:val="BodyText2"/>
        <w:spacing w:before="0" w:line="240" w:lineRule="auto"/>
        <w:rPr>
          <w:szCs w:val="24"/>
        </w:rPr>
      </w:pPr>
    </w:p>
    <w:p w14:paraId="49DDFD86" w14:textId="205458C6" w:rsidR="003E0C48" w:rsidRPr="00144F78" w:rsidRDefault="002043F8" w:rsidP="00A42FBD">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A42FBD">
      <w:pPr>
        <w:pStyle w:val="BodyText2"/>
        <w:spacing w:before="0" w:line="240" w:lineRule="auto"/>
        <w:ind w:right="-55"/>
        <w:rPr>
          <w:szCs w:val="24"/>
        </w:rPr>
      </w:pPr>
    </w:p>
    <w:p w14:paraId="7E4F28B1" w14:textId="42037FC4" w:rsidR="003E0C48" w:rsidRPr="00144F78" w:rsidRDefault="00DF6B2E" w:rsidP="00A42FBD">
      <w:pPr>
        <w:pStyle w:val="BodyText2"/>
        <w:spacing w:before="0" w:line="240" w:lineRule="auto"/>
        <w:ind w:right="-55"/>
        <w:rPr>
          <w:szCs w:val="24"/>
        </w:rPr>
      </w:pPr>
      <w:r w:rsidRPr="00144F78">
        <w:rPr>
          <w:szCs w:val="24"/>
        </w:rPr>
        <w:t>„</w:t>
      </w:r>
      <w:r w:rsidR="00C81810">
        <w:rPr>
          <w:szCs w:val="24"/>
        </w:rPr>
        <w:t>Foto tehnika (digitāla stacionārā rentgena diagnostikas iekārta)</w:t>
      </w:r>
      <w:r w:rsidRPr="00144F78">
        <w:rPr>
          <w:szCs w:val="24"/>
        </w:rPr>
        <w:t>”</w:t>
      </w:r>
    </w:p>
    <w:p w14:paraId="2E89C671" w14:textId="77777777" w:rsidR="00D46CD8" w:rsidRPr="00144F78" w:rsidRDefault="00D46CD8" w:rsidP="00A42FBD">
      <w:pPr>
        <w:pStyle w:val="BodyText2"/>
        <w:spacing w:before="0" w:line="240" w:lineRule="auto"/>
        <w:ind w:right="-55"/>
        <w:rPr>
          <w:szCs w:val="24"/>
        </w:rPr>
      </w:pPr>
    </w:p>
    <w:p w14:paraId="4D3623C7" w14:textId="77777777" w:rsidR="003E0C48" w:rsidRPr="00144F78" w:rsidRDefault="00DF6B2E" w:rsidP="00A42FBD">
      <w:pPr>
        <w:pStyle w:val="BodyText2"/>
        <w:spacing w:before="0" w:line="240" w:lineRule="auto"/>
        <w:ind w:right="-55"/>
        <w:rPr>
          <w:szCs w:val="24"/>
        </w:rPr>
      </w:pPr>
      <w:r w:rsidRPr="00144F78">
        <w:rPr>
          <w:szCs w:val="24"/>
        </w:rPr>
        <w:t>NOLIKUMS</w:t>
      </w:r>
    </w:p>
    <w:p w14:paraId="3107780A" w14:textId="14D8A02C" w:rsidR="003E0C48" w:rsidRPr="00144F78" w:rsidRDefault="00DF6B2E" w:rsidP="00A42FBD">
      <w:pPr>
        <w:pStyle w:val="BodyText2"/>
        <w:spacing w:before="0" w:line="240" w:lineRule="auto"/>
        <w:ind w:right="-55"/>
        <w:rPr>
          <w:szCs w:val="24"/>
        </w:rPr>
      </w:pPr>
      <w:r w:rsidRPr="00144F78">
        <w:rPr>
          <w:szCs w:val="24"/>
        </w:rPr>
        <w:t xml:space="preserve">Iepirkuma identifikācijas numurs - </w:t>
      </w:r>
      <w:r w:rsidR="00501605">
        <w:rPr>
          <w:szCs w:val="24"/>
        </w:rPr>
        <w:t>R1S 2018/IEP-37</w:t>
      </w:r>
    </w:p>
    <w:p w14:paraId="0694DCF2" w14:textId="77777777" w:rsidR="003E0C48" w:rsidRPr="00144F78" w:rsidRDefault="003E0C48" w:rsidP="00A42FBD">
      <w:pPr>
        <w:pStyle w:val="BodyText2"/>
        <w:spacing w:before="0" w:line="240" w:lineRule="auto"/>
        <w:ind w:firstLine="142"/>
        <w:rPr>
          <w:szCs w:val="24"/>
        </w:rPr>
      </w:pPr>
    </w:p>
    <w:p w14:paraId="17ECE411" w14:textId="77777777" w:rsidR="003E0C48" w:rsidRPr="00144F78" w:rsidRDefault="003E0C48" w:rsidP="00A42FBD">
      <w:pPr>
        <w:pStyle w:val="BodyText2"/>
        <w:spacing w:before="0" w:line="240" w:lineRule="auto"/>
        <w:ind w:right="87"/>
        <w:rPr>
          <w:szCs w:val="24"/>
        </w:rPr>
      </w:pPr>
    </w:p>
    <w:p w14:paraId="75F623D5" w14:textId="77777777" w:rsidR="003E0C48" w:rsidRPr="00144F78" w:rsidRDefault="003E0C48" w:rsidP="00A42FBD">
      <w:pPr>
        <w:shd w:val="clear" w:color="auto" w:fill="FFFFFF"/>
        <w:tabs>
          <w:tab w:val="left" w:pos="240"/>
        </w:tabs>
        <w:jc w:val="both"/>
        <w:rPr>
          <w:b/>
          <w:i/>
          <w:color w:val="000000"/>
          <w:sz w:val="24"/>
          <w:szCs w:val="24"/>
        </w:rPr>
      </w:pPr>
    </w:p>
    <w:p w14:paraId="66CC0CC4" w14:textId="77777777" w:rsidR="00DC7C4E" w:rsidRDefault="00DC7C4E" w:rsidP="00A42FBD">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A42FBD">
      <w:pPr>
        <w:shd w:val="clear" w:color="auto" w:fill="FFFFFF"/>
        <w:tabs>
          <w:tab w:val="left" w:pos="240"/>
        </w:tabs>
        <w:jc w:val="center"/>
        <w:rPr>
          <w:i/>
          <w:sz w:val="24"/>
          <w:szCs w:val="24"/>
        </w:rPr>
      </w:pPr>
    </w:p>
    <w:p w14:paraId="10AF8D59" w14:textId="7B24D7C7" w:rsidR="00DC7C4E" w:rsidRDefault="00DC7C4E" w:rsidP="00A42FBD">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501605">
        <w:rPr>
          <w:i/>
          <w:sz w:val="24"/>
          <w:szCs w:val="24"/>
        </w:rPr>
        <w:t>R1S 2018/IEP-37</w:t>
      </w:r>
    </w:p>
    <w:p w14:paraId="39CE42E2" w14:textId="77777777" w:rsidR="00DC7C4E" w:rsidRDefault="00DC7C4E" w:rsidP="00A42FBD">
      <w:pPr>
        <w:shd w:val="clear" w:color="auto" w:fill="FFFFFF"/>
        <w:tabs>
          <w:tab w:val="left" w:pos="240"/>
        </w:tabs>
        <w:ind w:left="567"/>
        <w:jc w:val="both"/>
        <w:rPr>
          <w:sz w:val="24"/>
          <w:szCs w:val="24"/>
        </w:rPr>
      </w:pPr>
    </w:p>
    <w:p w14:paraId="38E8B0BE" w14:textId="77777777" w:rsidR="00DC7C4E" w:rsidRDefault="00DC7C4E" w:rsidP="00A42FBD">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A42FBD">
      <w:pPr>
        <w:shd w:val="clear" w:color="auto" w:fill="FFFFFF"/>
        <w:ind w:left="709"/>
        <w:jc w:val="both"/>
        <w:rPr>
          <w:bCs/>
          <w:sz w:val="24"/>
          <w:szCs w:val="24"/>
        </w:rPr>
      </w:pPr>
      <w:r>
        <w:rPr>
          <w:bCs/>
          <w:sz w:val="24"/>
          <w:szCs w:val="24"/>
        </w:rPr>
        <w:t>SIA “Rīgas 1.slimnīca”</w:t>
      </w:r>
    </w:p>
    <w:p w14:paraId="634F91D8" w14:textId="77777777" w:rsidR="00DC7C4E" w:rsidRDefault="00DC7C4E" w:rsidP="00A42FBD">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A42FBD">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A42FBD">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A42FBD">
      <w:pPr>
        <w:widowControl/>
        <w:shd w:val="clear" w:color="auto" w:fill="FFFFFF"/>
        <w:ind w:left="709"/>
        <w:jc w:val="both"/>
        <w:rPr>
          <w:sz w:val="24"/>
          <w:szCs w:val="24"/>
        </w:rPr>
      </w:pPr>
    </w:p>
    <w:p w14:paraId="180C162F" w14:textId="77777777" w:rsidR="00DC7C4E" w:rsidRDefault="00DC7C4E" w:rsidP="00A42FB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22BBC04C" w14:textId="46B0C8C7" w:rsidR="00DC7C4E" w:rsidRPr="00057E2C" w:rsidRDefault="000B394B" w:rsidP="00057E2C">
      <w:pPr>
        <w:pStyle w:val="ListParagraph"/>
        <w:numPr>
          <w:ilvl w:val="1"/>
          <w:numId w:val="32"/>
        </w:numPr>
        <w:shd w:val="clear" w:color="auto" w:fill="FFFFFF"/>
        <w:tabs>
          <w:tab w:val="left" w:pos="993"/>
        </w:tabs>
        <w:spacing w:after="0"/>
        <w:ind w:hanging="2487"/>
        <w:jc w:val="both"/>
        <w:rPr>
          <w:rFonts w:ascii="Times New Roman" w:hAnsi="Times New Roman"/>
          <w:sz w:val="24"/>
          <w:szCs w:val="24"/>
        </w:rPr>
      </w:pPr>
      <w:r>
        <w:rPr>
          <w:rFonts w:ascii="Times New Roman" w:hAnsi="Times New Roman"/>
          <w:bCs/>
          <w:sz w:val="24"/>
          <w:szCs w:val="24"/>
        </w:rPr>
        <w:t>digitālās</w:t>
      </w:r>
      <w:r w:rsidR="00C81810">
        <w:rPr>
          <w:rFonts w:ascii="Times New Roman" w:hAnsi="Times New Roman"/>
          <w:bCs/>
          <w:sz w:val="24"/>
          <w:szCs w:val="24"/>
        </w:rPr>
        <w:t xml:space="preserve"> stacionār</w:t>
      </w:r>
      <w:r>
        <w:rPr>
          <w:rFonts w:ascii="Times New Roman" w:hAnsi="Times New Roman"/>
          <w:bCs/>
          <w:sz w:val="24"/>
          <w:szCs w:val="24"/>
        </w:rPr>
        <w:t>ās rentgena diagnostikas iekārtas ie</w:t>
      </w:r>
      <w:bookmarkStart w:id="3" w:name="_GoBack"/>
      <w:bookmarkEnd w:id="3"/>
      <w:r>
        <w:rPr>
          <w:rFonts w:ascii="Times New Roman" w:hAnsi="Times New Roman"/>
          <w:bCs/>
          <w:sz w:val="24"/>
          <w:szCs w:val="24"/>
        </w:rPr>
        <w:t>gāde</w:t>
      </w:r>
      <w:r w:rsidR="00DC7C4E" w:rsidRPr="00057E2C">
        <w:rPr>
          <w:rFonts w:ascii="Times New Roman" w:hAnsi="Times New Roman"/>
          <w:sz w:val="24"/>
          <w:szCs w:val="24"/>
        </w:rPr>
        <w:t>;</w:t>
      </w:r>
    </w:p>
    <w:p w14:paraId="17CCF86E" w14:textId="2D273067" w:rsidR="00DC7C4E" w:rsidRPr="00501605" w:rsidRDefault="00DC7C4E" w:rsidP="00057E2C">
      <w:pPr>
        <w:pStyle w:val="ListParagraph"/>
        <w:numPr>
          <w:ilvl w:val="1"/>
          <w:numId w:val="32"/>
        </w:numPr>
        <w:shd w:val="clear" w:color="auto" w:fill="FFFFFF"/>
        <w:tabs>
          <w:tab w:val="left" w:pos="993"/>
        </w:tabs>
        <w:spacing w:after="0"/>
        <w:ind w:hanging="2487"/>
        <w:jc w:val="both"/>
        <w:rPr>
          <w:rFonts w:ascii="Times New Roman" w:hAnsi="Times New Roman"/>
          <w:bCs/>
          <w:sz w:val="24"/>
          <w:szCs w:val="24"/>
        </w:rPr>
      </w:pPr>
      <w:r w:rsidRPr="00501605">
        <w:rPr>
          <w:rFonts w:ascii="Times New Roman" w:hAnsi="Times New Roman"/>
          <w:bCs/>
          <w:sz w:val="24"/>
          <w:szCs w:val="24"/>
        </w:rPr>
        <w:t xml:space="preserve">CPV kods – </w:t>
      </w:r>
      <w:r w:rsidR="00501605" w:rsidRPr="00501605">
        <w:rPr>
          <w:rFonts w:ascii="Times New Roman" w:hAnsi="Times New Roman"/>
          <w:bCs/>
          <w:sz w:val="24"/>
          <w:szCs w:val="24"/>
        </w:rPr>
        <w:t>33111000-1</w:t>
      </w:r>
      <w:r w:rsidRPr="00501605">
        <w:rPr>
          <w:rFonts w:ascii="Times New Roman" w:hAnsi="Times New Roman"/>
          <w:bCs/>
          <w:sz w:val="24"/>
          <w:szCs w:val="24"/>
        </w:rPr>
        <w:t>;</w:t>
      </w:r>
    </w:p>
    <w:p w14:paraId="2D635F1E" w14:textId="7DEEFD6C" w:rsidR="00DC7C4E" w:rsidRPr="00057E2C" w:rsidRDefault="00BB2C57" w:rsidP="00057E2C">
      <w:pPr>
        <w:pStyle w:val="ListParagraph"/>
        <w:numPr>
          <w:ilvl w:val="1"/>
          <w:numId w:val="32"/>
        </w:numPr>
        <w:shd w:val="clear" w:color="auto" w:fill="FFFFFF"/>
        <w:tabs>
          <w:tab w:val="left" w:pos="993"/>
        </w:tabs>
        <w:spacing w:after="0"/>
        <w:ind w:hanging="2487"/>
        <w:jc w:val="both"/>
        <w:rPr>
          <w:rFonts w:ascii="Times New Roman" w:hAnsi="Times New Roman"/>
          <w:bCs/>
          <w:sz w:val="24"/>
          <w:szCs w:val="24"/>
        </w:rPr>
      </w:pPr>
      <w:r w:rsidRPr="00057E2C">
        <w:rPr>
          <w:rFonts w:ascii="Times New Roman" w:hAnsi="Times New Roman"/>
          <w:bCs/>
          <w:sz w:val="24"/>
          <w:szCs w:val="24"/>
        </w:rPr>
        <w:t>i</w:t>
      </w:r>
      <w:r w:rsidR="00DC7C4E" w:rsidRPr="00057E2C">
        <w:rPr>
          <w:rFonts w:ascii="Times New Roman" w:hAnsi="Times New Roman"/>
          <w:bCs/>
          <w:sz w:val="24"/>
          <w:szCs w:val="24"/>
        </w:rPr>
        <w:t xml:space="preserve">epirkuma priekšmets </w:t>
      </w:r>
      <w:r w:rsidR="00501605" w:rsidRPr="00057E2C">
        <w:rPr>
          <w:rFonts w:ascii="Times New Roman" w:hAnsi="Times New Roman"/>
          <w:bCs/>
          <w:sz w:val="24"/>
          <w:szCs w:val="24"/>
        </w:rPr>
        <w:t>nav dalīts daļās</w:t>
      </w:r>
      <w:r w:rsidR="00DC7C4E" w:rsidRPr="00057E2C">
        <w:rPr>
          <w:rFonts w:ascii="Times New Roman" w:hAnsi="Times New Roman"/>
          <w:bCs/>
          <w:sz w:val="24"/>
          <w:szCs w:val="24"/>
        </w:rPr>
        <w:t>.</w:t>
      </w:r>
    </w:p>
    <w:p w14:paraId="5844BC7E" w14:textId="77777777" w:rsidR="00DC7C4E" w:rsidRPr="00075037" w:rsidRDefault="00DC7C4E" w:rsidP="00A42FBD">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057E2C">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7E6F720F" w:rsidR="00057E2C" w:rsidRPr="00CD4A10" w:rsidRDefault="00057E2C" w:rsidP="00057E2C">
      <w:pPr>
        <w:pStyle w:val="ListParagraph"/>
        <w:numPr>
          <w:ilvl w:val="1"/>
          <w:numId w:val="31"/>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 xml:space="preserve">Piegādes termiņš – līdz </w:t>
      </w:r>
      <w:r>
        <w:rPr>
          <w:rFonts w:ascii="Times New Roman" w:hAnsi="Times New Roman"/>
          <w:bCs/>
          <w:sz w:val="24"/>
          <w:szCs w:val="24"/>
        </w:rPr>
        <w:t>40</w:t>
      </w:r>
      <w:r w:rsidRPr="00CD4A10">
        <w:rPr>
          <w:rFonts w:ascii="Times New Roman" w:hAnsi="Times New Roman"/>
          <w:bCs/>
          <w:sz w:val="24"/>
          <w:szCs w:val="24"/>
        </w:rPr>
        <w:t xml:space="preserve"> dienām. </w:t>
      </w:r>
    </w:p>
    <w:p w14:paraId="470015C6" w14:textId="77777777" w:rsidR="00057E2C" w:rsidRPr="00CD4A10" w:rsidRDefault="00057E2C" w:rsidP="00057E2C">
      <w:pPr>
        <w:pStyle w:val="ListParagraph"/>
        <w:numPr>
          <w:ilvl w:val="1"/>
          <w:numId w:val="31"/>
        </w:numPr>
        <w:shd w:val="clear" w:color="auto" w:fill="FFFFFF"/>
        <w:tabs>
          <w:tab w:val="left" w:pos="993"/>
        </w:tabs>
        <w:spacing w:after="0"/>
        <w:ind w:hanging="2487"/>
        <w:jc w:val="both"/>
        <w:rPr>
          <w:rFonts w:ascii="Times New Roman" w:hAnsi="Times New Roman"/>
          <w:bCs/>
          <w:sz w:val="24"/>
          <w:szCs w:val="24"/>
        </w:rPr>
      </w:pPr>
      <w:r>
        <w:rPr>
          <w:rFonts w:ascii="Times New Roman" w:hAnsi="Times New Roman"/>
          <w:bCs/>
          <w:sz w:val="24"/>
          <w:szCs w:val="24"/>
        </w:rPr>
        <w:t>Iekārtas piegādes</w:t>
      </w:r>
      <w:r w:rsidRPr="00CD4A10">
        <w:rPr>
          <w:rFonts w:ascii="Times New Roman" w:hAnsi="Times New Roman"/>
          <w:bCs/>
          <w:sz w:val="24"/>
          <w:szCs w:val="24"/>
        </w:rPr>
        <w:t xml:space="preserve"> vieta: SIA “Rīgas 1.slimnīca”, Rīga, Bruņinieku iela 5k-2. </w:t>
      </w:r>
    </w:p>
    <w:p w14:paraId="2715EE34" w14:textId="77777777" w:rsidR="00DC7C4E" w:rsidRDefault="00DC7C4E" w:rsidP="00A42FBD">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A42FBD">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057E2C">
      <w:pPr>
        <w:pStyle w:val="ListParagraph"/>
        <w:numPr>
          <w:ilvl w:val="1"/>
          <w:numId w:val="33"/>
        </w:numPr>
        <w:shd w:val="clear" w:color="auto" w:fill="FFFFFF"/>
        <w:spacing w:after="0"/>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057E2C">
      <w:pPr>
        <w:pStyle w:val="ListParagraph"/>
        <w:numPr>
          <w:ilvl w:val="1"/>
          <w:numId w:val="33"/>
        </w:numPr>
        <w:shd w:val="clear" w:color="auto" w:fill="FFFFFF"/>
        <w:spacing w:after="0"/>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2D10443E"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057E2C">
      <w:pPr>
        <w:pStyle w:val="ListParagraph"/>
        <w:numPr>
          <w:ilvl w:val="1"/>
          <w:numId w:val="34"/>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057E2C">
      <w:pPr>
        <w:pStyle w:val="ListParagraph"/>
        <w:numPr>
          <w:ilvl w:val="1"/>
          <w:numId w:val="34"/>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w:t>
      </w:r>
      <w:r w:rsidRPr="005416D2">
        <w:rPr>
          <w:rFonts w:ascii="Times New Roman" w:hAnsi="Times New Roman"/>
          <w:color w:val="000000"/>
          <w:sz w:val="24"/>
          <w:szCs w:val="24"/>
        </w:rPr>
        <w:lastRenderedPageBreak/>
        <w:t xml:space="preserve">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057E2C">
      <w:pPr>
        <w:pStyle w:val="ListParagraph"/>
        <w:numPr>
          <w:ilvl w:val="1"/>
          <w:numId w:val="34"/>
        </w:numPr>
        <w:shd w:val="clear" w:color="auto" w:fill="FFFFFF"/>
        <w:tabs>
          <w:tab w:val="left" w:pos="993"/>
        </w:tabs>
        <w:spacing w:after="0"/>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057E2C">
      <w:pPr>
        <w:pStyle w:val="ListParagraph"/>
        <w:numPr>
          <w:ilvl w:val="1"/>
          <w:numId w:val="34"/>
        </w:numPr>
        <w:shd w:val="clear" w:color="auto" w:fill="FFFFFF"/>
        <w:tabs>
          <w:tab w:val="left" w:pos="993"/>
        </w:tabs>
        <w:spacing w:after="0"/>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A42FBD">
      <w:pPr>
        <w:ind w:left="709"/>
        <w:jc w:val="both"/>
      </w:pPr>
    </w:p>
    <w:p w14:paraId="02B543F7"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58F3BDE" w:rsidR="00F83686" w:rsidRPr="00057E2C" w:rsidRDefault="00F83686"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r w:rsidR="004F681C" w:rsidRPr="00057E2C">
        <w:rPr>
          <w:rFonts w:ascii="Times New Roman" w:hAnsi="Times New Roman"/>
          <w:color w:val="000000"/>
          <w:spacing w:val="1"/>
          <w:sz w:val="24"/>
          <w:szCs w:val="24"/>
        </w:rPr>
        <w:t>, izņemot preču paraugus, kas iesniedzami klātienē</w:t>
      </w:r>
      <w:r w:rsidR="00916F21" w:rsidRPr="00057E2C">
        <w:rPr>
          <w:rFonts w:ascii="Times New Roman" w:hAnsi="Times New Roman"/>
          <w:color w:val="000000"/>
          <w:spacing w:val="1"/>
          <w:sz w:val="24"/>
          <w:szCs w:val="24"/>
        </w:rPr>
        <w:t xml:space="preserve"> (</w:t>
      </w:r>
      <w:r w:rsidR="00916F21" w:rsidRPr="00057E2C">
        <w:rPr>
          <w:rFonts w:ascii="Times New Roman" w:hAnsi="Times New Roman"/>
          <w:i/>
          <w:color w:val="000000"/>
          <w:spacing w:val="1"/>
          <w:sz w:val="24"/>
          <w:szCs w:val="24"/>
        </w:rPr>
        <w:t>skatīt nolikuma 16.11.</w:t>
      </w:r>
      <w:r w:rsidR="007166A0" w:rsidRPr="00057E2C">
        <w:rPr>
          <w:rFonts w:ascii="Times New Roman" w:hAnsi="Times New Roman"/>
          <w:i/>
          <w:color w:val="000000"/>
          <w:spacing w:val="1"/>
          <w:sz w:val="24"/>
          <w:szCs w:val="24"/>
        </w:rPr>
        <w:t>apakš</w:t>
      </w:r>
      <w:r w:rsidR="00916F21" w:rsidRPr="00057E2C">
        <w:rPr>
          <w:rFonts w:ascii="Times New Roman" w:hAnsi="Times New Roman"/>
          <w:i/>
          <w:color w:val="000000"/>
          <w:spacing w:val="1"/>
          <w:sz w:val="24"/>
          <w:szCs w:val="24"/>
        </w:rPr>
        <w:t>punktu</w:t>
      </w:r>
      <w:r w:rsidR="00916F21" w:rsidRPr="00057E2C">
        <w:rPr>
          <w:rFonts w:ascii="Times New Roman" w:hAnsi="Times New Roman"/>
          <w:color w:val="000000"/>
          <w:spacing w:val="1"/>
          <w:sz w:val="24"/>
          <w:szCs w:val="24"/>
        </w:rPr>
        <w:t>)</w:t>
      </w:r>
      <w:r w:rsidRPr="00057E2C">
        <w:rPr>
          <w:rFonts w:ascii="Times New Roman" w:hAnsi="Times New Roman"/>
          <w:color w:val="000000"/>
          <w:spacing w:val="1"/>
          <w:sz w:val="24"/>
          <w:szCs w:val="24"/>
        </w:rPr>
        <w:t>;</w:t>
      </w:r>
    </w:p>
    <w:p w14:paraId="6F0329DF" w14:textId="12938DEC" w:rsidR="00207EF3" w:rsidRDefault="00207EF3"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463BADBB" w:rsidR="00F83686" w:rsidRDefault="00F83686"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līdz 201</w:t>
      </w:r>
      <w:r w:rsidR="004B2569">
        <w:rPr>
          <w:rFonts w:ascii="Times New Roman" w:hAnsi="Times New Roman"/>
          <w:b/>
          <w:color w:val="000000"/>
          <w:spacing w:val="1"/>
          <w:sz w:val="24"/>
          <w:szCs w:val="24"/>
        </w:rPr>
        <w:t>8</w:t>
      </w:r>
      <w:r w:rsidRPr="007A27A7">
        <w:rPr>
          <w:rFonts w:ascii="Times New Roman" w:hAnsi="Times New Roman"/>
          <w:b/>
          <w:color w:val="000000"/>
          <w:spacing w:val="1"/>
          <w:sz w:val="24"/>
          <w:szCs w:val="24"/>
        </w:rPr>
        <w:t xml:space="preserve">.gada </w:t>
      </w:r>
      <w:r w:rsidR="0077378F">
        <w:rPr>
          <w:rFonts w:ascii="Times New Roman" w:hAnsi="Times New Roman"/>
          <w:b/>
          <w:spacing w:val="1"/>
          <w:sz w:val="24"/>
          <w:szCs w:val="24"/>
        </w:rPr>
        <w:t>16.aprīļa</w:t>
      </w:r>
      <w:r w:rsidRPr="007A27A7">
        <w:rPr>
          <w:rFonts w:ascii="Times New Roman" w:hAnsi="Times New Roman"/>
          <w:b/>
          <w:color w:val="000000"/>
          <w:spacing w:val="1"/>
          <w:sz w:val="24"/>
          <w:szCs w:val="24"/>
        </w:rPr>
        <w:t xml:space="preserve"> plkst. 10:00</w:t>
      </w:r>
      <w:r w:rsidR="008E723A">
        <w:rPr>
          <w:rFonts w:ascii="Times New Roman" w:hAnsi="Times New Roman"/>
          <w:color w:val="000000"/>
          <w:spacing w:val="1"/>
          <w:sz w:val="24"/>
          <w:szCs w:val="24"/>
        </w:rPr>
        <w:t>;</w:t>
      </w:r>
    </w:p>
    <w:p w14:paraId="4C30D901" w14:textId="5877B835" w:rsidR="00F83686"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k</w:t>
      </w:r>
      <w:r w:rsidR="00F83686" w:rsidRPr="00F83686">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 xml:space="preserve">.gada </w:t>
      </w:r>
      <w:r w:rsidR="0077378F">
        <w:rPr>
          <w:rFonts w:ascii="Times New Roman" w:hAnsi="Times New Roman"/>
          <w:color w:val="000000"/>
          <w:spacing w:val="1"/>
          <w:sz w:val="24"/>
          <w:szCs w:val="24"/>
        </w:rPr>
        <w:t>16.aprīlī</w:t>
      </w:r>
      <w:r w:rsidR="00F83686" w:rsidRPr="004B2569">
        <w:rPr>
          <w:rFonts w:ascii="Times New Roman" w:hAnsi="Times New Roman"/>
          <w:color w:val="000000"/>
          <w:spacing w:val="1"/>
          <w:sz w:val="24"/>
          <w:szCs w:val="24"/>
        </w:rPr>
        <w:t xml:space="preserve"> plkst</w:t>
      </w:r>
      <w:r w:rsidR="00F83686" w:rsidRPr="00F83686">
        <w:rPr>
          <w:rFonts w:ascii="Times New Roman" w:hAnsi="Times New Roman"/>
          <w:color w:val="000000"/>
          <w:spacing w:val="1"/>
          <w:sz w:val="24"/>
          <w:szCs w:val="24"/>
        </w:rPr>
        <w:t>.10:00</w:t>
      </w:r>
      <w:r>
        <w:rPr>
          <w:rFonts w:ascii="Times New Roman" w:hAnsi="Times New Roman"/>
          <w:color w:val="000000"/>
          <w:spacing w:val="1"/>
          <w:sz w:val="24"/>
          <w:szCs w:val="24"/>
        </w:rPr>
        <w:t>;</w:t>
      </w:r>
    </w:p>
    <w:p w14:paraId="0901E95D" w14:textId="01798583" w:rsidR="00F83686" w:rsidRPr="00F83686"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ā</w:t>
      </w:r>
      <w:r w:rsidR="00F83686" w:rsidRPr="00F83686">
        <w:rPr>
          <w:rFonts w:ascii="Times New Roman" w:hAnsi="Times New Roman"/>
          <w:color w:val="000000"/>
          <w:spacing w:val="1"/>
          <w:sz w:val="24"/>
          <w:szCs w:val="24"/>
        </w:rPr>
        <w:t>rpus EIS e-konkursu apakšsistēmas iesniegtie piedāvājumi netiks pieņemti un neatvērti tiks nosūtīti atpakaļ iesniedzējam</w:t>
      </w:r>
      <w:r>
        <w:rPr>
          <w:rFonts w:ascii="Times New Roman" w:hAnsi="Times New Roman"/>
          <w:color w:val="000000"/>
          <w:spacing w:val="1"/>
          <w:sz w:val="24"/>
          <w:szCs w:val="24"/>
        </w:rPr>
        <w:t>;</w:t>
      </w:r>
    </w:p>
    <w:p w14:paraId="29623AC7" w14:textId="5F15EF69" w:rsidR="00F83686" w:rsidRPr="00F83686"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1446C504" w:rsidR="00F83686"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iedāvājumu atvēršanas sanāksme notiks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w:t>
      </w:r>
      <w:r w:rsidR="0077378F">
        <w:rPr>
          <w:rFonts w:ascii="Times New Roman" w:hAnsi="Times New Roman"/>
          <w:color w:val="000000"/>
          <w:spacing w:val="1"/>
          <w:sz w:val="24"/>
          <w:szCs w:val="24"/>
        </w:rPr>
        <w:t>gada 16.aprīlī</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A42FBD">
      <w:pPr>
        <w:shd w:val="clear" w:color="auto" w:fill="FFFFFF"/>
        <w:tabs>
          <w:tab w:val="left" w:pos="240"/>
        </w:tabs>
        <w:ind w:left="1080"/>
        <w:jc w:val="center"/>
        <w:rPr>
          <w:b/>
          <w:i/>
          <w:color w:val="000000"/>
          <w:spacing w:val="-1"/>
          <w:sz w:val="24"/>
          <w:szCs w:val="24"/>
        </w:rPr>
      </w:pPr>
    </w:p>
    <w:p w14:paraId="126226E6" w14:textId="77777777" w:rsidR="00DC7C4E" w:rsidRDefault="00DC7C4E" w:rsidP="00A42FBD">
      <w:pPr>
        <w:shd w:val="clear" w:color="auto" w:fill="FFFFFF"/>
        <w:tabs>
          <w:tab w:val="left" w:pos="240"/>
        </w:tabs>
        <w:ind w:left="1080"/>
        <w:jc w:val="center"/>
        <w:rPr>
          <w:b/>
          <w:i/>
          <w:color w:val="000000"/>
          <w:spacing w:val="-1"/>
          <w:sz w:val="24"/>
          <w:szCs w:val="24"/>
        </w:rPr>
      </w:pPr>
      <w:r>
        <w:rPr>
          <w:b/>
          <w:i/>
          <w:color w:val="000000"/>
          <w:spacing w:val="-1"/>
          <w:sz w:val="24"/>
          <w:szCs w:val="24"/>
        </w:rPr>
        <w:lastRenderedPageBreak/>
        <w:t>II PIEDĀVĀJUMA NOFORMĒJUMS UN SATURS</w:t>
      </w:r>
    </w:p>
    <w:p w14:paraId="5A7B0551" w14:textId="77777777" w:rsidR="00DC7C4E" w:rsidRDefault="00DC7C4E" w:rsidP="00A42FBD">
      <w:pPr>
        <w:shd w:val="clear" w:color="auto" w:fill="FFFFFF"/>
        <w:tabs>
          <w:tab w:val="left" w:pos="240"/>
        </w:tabs>
        <w:ind w:left="1080"/>
        <w:jc w:val="center"/>
        <w:rPr>
          <w:b/>
          <w:i/>
          <w:color w:val="000000"/>
          <w:spacing w:val="-1"/>
          <w:sz w:val="24"/>
          <w:szCs w:val="24"/>
        </w:rPr>
      </w:pPr>
    </w:p>
    <w:p w14:paraId="3C87E45F" w14:textId="77777777" w:rsidR="00DC7C4E" w:rsidRDefault="00DC7C4E" w:rsidP="00A42FBD">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057E2C">
      <w:pPr>
        <w:pStyle w:val="ListParagraph"/>
        <w:numPr>
          <w:ilvl w:val="1"/>
          <w:numId w:val="36"/>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057E2C">
      <w:pPr>
        <w:pStyle w:val="ListParagraph"/>
        <w:numPr>
          <w:ilvl w:val="2"/>
          <w:numId w:val="36"/>
        </w:numPr>
        <w:shd w:val="clear" w:color="auto" w:fill="FFFFFF"/>
        <w:tabs>
          <w:tab w:val="left" w:pos="993"/>
        </w:tabs>
        <w:spacing w:after="0"/>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057E2C">
      <w:pPr>
        <w:pStyle w:val="ListParagraph"/>
        <w:numPr>
          <w:ilvl w:val="2"/>
          <w:numId w:val="36"/>
        </w:numPr>
        <w:shd w:val="clear" w:color="auto" w:fill="FFFFFF"/>
        <w:tabs>
          <w:tab w:val="left" w:pos="993"/>
        </w:tabs>
        <w:spacing w:after="0"/>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057E2C">
      <w:pPr>
        <w:pStyle w:val="ListParagraph"/>
        <w:numPr>
          <w:ilvl w:val="2"/>
          <w:numId w:val="36"/>
        </w:numPr>
        <w:shd w:val="clear" w:color="auto" w:fill="FFFFFF"/>
        <w:tabs>
          <w:tab w:val="left" w:pos="993"/>
        </w:tabs>
        <w:spacing w:after="0"/>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057E2C">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02214202" w:rsidR="006F5371" w:rsidRPr="00057E2C" w:rsidRDefault="00524D70" w:rsidP="00057E2C">
      <w:pPr>
        <w:pStyle w:val="ListParagraph"/>
        <w:numPr>
          <w:ilvl w:val="1"/>
          <w:numId w:val="38"/>
        </w:numPr>
        <w:spacing w:after="0"/>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 xml:space="preserve">Finanšu piedāvājums saskaņā ar e 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27557F87" w:rsidR="006F5371" w:rsidRPr="00A430DB" w:rsidRDefault="00A430DB" w:rsidP="00057E2C">
      <w:pPr>
        <w:pStyle w:val="ListParagraph"/>
        <w:numPr>
          <w:ilvl w:val="1"/>
          <w:numId w:val="38"/>
        </w:numPr>
        <w:spacing w:after="0"/>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057E2C">
      <w:pPr>
        <w:pStyle w:val="ListParagraph"/>
        <w:numPr>
          <w:ilvl w:val="1"/>
          <w:numId w:val="38"/>
        </w:numPr>
        <w:spacing w:after="0"/>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057E2C">
      <w:pPr>
        <w:pStyle w:val="ListParagraph"/>
        <w:numPr>
          <w:ilvl w:val="1"/>
          <w:numId w:val="38"/>
        </w:numPr>
        <w:spacing w:after="0"/>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06662EA1"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kopijas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A42FBD">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A42FBD">
      <w:pPr>
        <w:widowControl/>
        <w:autoSpaceDE/>
        <w:spacing w:after="120"/>
        <w:jc w:val="both"/>
        <w:rPr>
          <w:b/>
          <w:sz w:val="24"/>
          <w:szCs w:val="24"/>
          <w:shd w:val="clear" w:color="auto" w:fill="FFFF00"/>
        </w:rPr>
      </w:pPr>
    </w:p>
    <w:p w14:paraId="44F5F407" w14:textId="77777777" w:rsidR="00C45D83" w:rsidRPr="00C45D83" w:rsidRDefault="00DC7C4E" w:rsidP="00A42FBD">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A42FBD">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A42FBD">
      <w:pPr>
        <w:tabs>
          <w:tab w:val="left" w:pos="2340"/>
        </w:tabs>
        <w:ind w:right="66"/>
        <w:jc w:val="center"/>
        <w:rPr>
          <w:b/>
          <w:caps/>
          <w:sz w:val="24"/>
          <w:szCs w:val="24"/>
        </w:rPr>
      </w:pPr>
    </w:p>
    <w:p w14:paraId="0B9CA9D1" w14:textId="6BB7919C" w:rsidR="00DC7C4E" w:rsidRPr="00706960" w:rsidRDefault="00706960" w:rsidP="00A42FBD">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 xml:space="preserve">Pasūtītājs izslēgšanas nosacījumu pārbaudi veic PIL 42.pantā </w:t>
      </w:r>
      <w:r w:rsidRPr="00706960">
        <w:rPr>
          <w:sz w:val="24"/>
          <w:szCs w:val="24"/>
        </w:rPr>
        <w:lastRenderedPageBreak/>
        <w:t>noteiktajā kārtībā, ņemot vērā PIL 42.panta trešajā, ceturtajā, piektajā, septītajā daļā noteikto</w:t>
      </w:r>
      <w:r>
        <w:rPr>
          <w:sz w:val="24"/>
          <w:szCs w:val="24"/>
        </w:rPr>
        <w:t>.</w:t>
      </w:r>
    </w:p>
    <w:p w14:paraId="142B7C63" w14:textId="77777777" w:rsidR="00DC7C4E" w:rsidRPr="008F622C" w:rsidRDefault="00DC7C4E" w:rsidP="00A42FBD">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52012C">
      <w:pPr>
        <w:pStyle w:val="ListParagraph"/>
        <w:numPr>
          <w:ilvl w:val="1"/>
          <w:numId w:val="39"/>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3B606EA2" w:rsidR="0052012C" w:rsidRPr="0052012C" w:rsidRDefault="0052012C" w:rsidP="0052012C">
      <w:pPr>
        <w:pStyle w:val="ListParagraph"/>
        <w:numPr>
          <w:ilvl w:val="1"/>
          <w:numId w:val="39"/>
        </w:numPr>
        <w:shd w:val="clear" w:color="auto" w:fill="FFFFFF"/>
        <w:tabs>
          <w:tab w:val="left" w:pos="993"/>
        </w:tabs>
        <w:spacing w:after="0"/>
        <w:ind w:left="993" w:hanging="426"/>
        <w:jc w:val="both"/>
        <w:rPr>
          <w:rFonts w:ascii="Times New Roman" w:hAnsi="Times New Roman"/>
          <w:sz w:val="24"/>
          <w:szCs w:val="24"/>
        </w:rPr>
      </w:pPr>
      <w:r w:rsidRPr="0052012C">
        <w:rPr>
          <w:rFonts w:ascii="Times New Roman" w:hAnsi="Times New Roman"/>
          <w:sz w:val="24"/>
          <w:szCs w:val="24"/>
        </w:rPr>
        <w:t>Pretendentam ir piedāvātās iekārtas ražotāja autorizācija iepirkuma līguma izpildei.</w:t>
      </w:r>
    </w:p>
    <w:p w14:paraId="01556882" w14:textId="77777777" w:rsidR="00DC7C4E" w:rsidRDefault="00DC7C4E" w:rsidP="00A42FBD">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52012C">
      <w:pPr>
        <w:pStyle w:val="ListParagraph"/>
        <w:numPr>
          <w:ilvl w:val="1"/>
          <w:numId w:val="40"/>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52012C">
      <w:pPr>
        <w:pStyle w:val="ListParagraph"/>
        <w:numPr>
          <w:ilvl w:val="1"/>
          <w:numId w:val="40"/>
        </w:numPr>
        <w:shd w:val="clear" w:color="auto" w:fill="FFFFFF"/>
        <w:tabs>
          <w:tab w:val="left" w:pos="993"/>
        </w:tabs>
        <w:spacing w:after="0"/>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057E2C">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5CEC30F6" w:rsidR="00DC7C4E" w:rsidRPr="00B96567" w:rsidRDefault="00DC7C4E" w:rsidP="00057E2C">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kopija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057E2C">
      <w:pPr>
        <w:pStyle w:val="ListParagraph"/>
        <w:numPr>
          <w:ilvl w:val="1"/>
          <w:numId w:val="40"/>
        </w:numPr>
        <w:shd w:val="clear" w:color="auto" w:fill="FFFFFF"/>
        <w:tabs>
          <w:tab w:val="left" w:pos="993"/>
        </w:tabs>
        <w:spacing w:after="0"/>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057E2C">
      <w:pPr>
        <w:pStyle w:val="ListParagraph"/>
        <w:numPr>
          <w:ilvl w:val="1"/>
          <w:numId w:val="40"/>
        </w:numPr>
        <w:shd w:val="clear" w:color="auto" w:fill="FFFFFF"/>
        <w:tabs>
          <w:tab w:val="left" w:pos="993"/>
        </w:tabs>
        <w:spacing w:after="0"/>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057E2C">
      <w:pPr>
        <w:pStyle w:val="ListParagraph"/>
        <w:numPr>
          <w:ilvl w:val="1"/>
          <w:numId w:val="40"/>
        </w:numPr>
        <w:shd w:val="clear" w:color="auto" w:fill="FFFFFF"/>
        <w:tabs>
          <w:tab w:val="left" w:pos="993"/>
        </w:tabs>
        <w:spacing w:after="0"/>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w:t>
      </w:r>
      <w:r w:rsidRPr="009A78AB">
        <w:rPr>
          <w:rFonts w:ascii="Times New Roman" w:hAnsi="Times New Roman"/>
          <w:i/>
          <w:iCs/>
          <w:sz w:val="24"/>
          <w:szCs w:val="24"/>
        </w:rPr>
        <w:lastRenderedPageBreak/>
        <w:t xml:space="preserve">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057E2C">
      <w:pPr>
        <w:pStyle w:val="ListParagraph"/>
        <w:numPr>
          <w:ilvl w:val="1"/>
          <w:numId w:val="40"/>
        </w:numPr>
        <w:shd w:val="clear" w:color="auto" w:fill="FFFFFF"/>
        <w:tabs>
          <w:tab w:val="left" w:pos="993"/>
        </w:tabs>
        <w:spacing w:after="0"/>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77777777" w:rsidR="00972099" w:rsidRPr="00972099" w:rsidRDefault="00C8360F" w:rsidP="0097209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679C751" w14:textId="77777777" w:rsidR="00972099" w:rsidRDefault="00972099" w:rsidP="0097209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 piedāvājums (sagatavots atbilstoši iepirkuma nolikuma 3.pielikumam);</w:t>
      </w:r>
    </w:p>
    <w:p w14:paraId="443AA3B1" w14:textId="454EA2D5" w:rsidR="001204E8" w:rsidRDefault="00972099" w:rsidP="001204E8">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Pr>
          <w:rFonts w:ascii="Times New Roman" w:eastAsia="Times New Roman" w:hAnsi="Times New Roman"/>
          <w:sz w:val="24"/>
          <w:szCs w:val="24"/>
        </w:rPr>
        <w:t xml:space="preserve">iekārtas ražotāja izsniegtas </w:t>
      </w:r>
      <w:r w:rsidR="001204E8">
        <w:rPr>
          <w:rFonts w:ascii="Times New Roman" w:eastAsia="Times New Roman" w:hAnsi="Times New Roman"/>
          <w:sz w:val="24"/>
          <w:szCs w:val="24"/>
        </w:rPr>
        <w:t>autorizācijas vēstule</w:t>
      </w:r>
      <w:r w:rsidRPr="00972099">
        <w:rPr>
          <w:rFonts w:ascii="Times New Roman" w:eastAsia="Times New Roman" w:hAnsi="Times New Roman"/>
          <w:sz w:val="24"/>
          <w:szCs w:val="24"/>
        </w:rPr>
        <w:t xml:space="preserve">, kas apliecina Pretendenta </w:t>
      </w:r>
      <w:r>
        <w:rPr>
          <w:rFonts w:ascii="Times New Roman" w:eastAsia="Times New Roman" w:hAnsi="Times New Roman"/>
          <w:sz w:val="24"/>
          <w:szCs w:val="24"/>
        </w:rPr>
        <w:t>tiesības izplatīt piedāvāto preci</w:t>
      </w:r>
      <w:r w:rsidRPr="00972099">
        <w:rPr>
          <w:rFonts w:ascii="Times New Roman" w:eastAsia="Times New Roman" w:hAnsi="Times New Roman"/>
          <w:sz w:val="24"/>
          <w:szCs w:val="24"/>
        </w:rPr>
        <w:t>;</w:t>
      </w:r>
    </w:p>
    <w:p w14:paraId="37F12780" w14:textId="77777777" w:rsidR="009A4C41" w:rsidRPr="009A4C41" w:rsidRDefault="001204E8" w:rsidP="009A4C41">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1204E8">
        <w:rPr>
          <w:rFonts w:ascii="Times New Roman" w:hAnsi="Times New Roman"/>
          <w:sz w:val="24"/>
          <w:szCs w:val="24"/>
        </w:rPr>
        <w:t>piedāvātās iekārtas tehnisko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kas apliecina 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norādot atsauci Tehniskajā specifikācijā/Tehniskajā piedāvājumā uz konkrēto lpp.</w:t>
      </w:r>
      <w:r w:rsidRPr="001204E8">
        <w:rPr>
          <w:rFonts w:ascii="Times New Roman" w:hAnsi="Times New Roman"/>
          <w:b/>
          <w:sz w:val="24"/>
          <w:szCs w:val="24"/>
        </w:rPr>
        <w:t xml:space="preserve"> </w:t>
      </w:r>
      <w:r w:rsidRPr="001204E8">
        <w:rPr>
          <w:rFonts w:ascii="Times New Roman" w:hAnsi="Times New Roman"/>
          <w:sz w:val="24"/>
          <w:szCs w:val="24"/>
        </w:rPr>
        <w:t>ražotāja tehniskajā dokumentācijā, kur atzīmēts at</w:t>
      </w:r>
      <w:r>
        <w:rPr>
          <w:rFonts w:ascii="Times New Roman" w:hAnsi="Times New Roman"/>
          <w:sz w:val="24"/>
          <w:szCs w:val="24"/>
        </w:rPr>
        <w:t>tiecīgais tehniskais parametrs;</w:t>
      </w:r>
    </w:p>
    <w:p w14:paraId="1BEE9C6F" w14:textId="7160CEAB" w:rsidR="00FB3A21" w:rsidRPr="00097327" w:rsidRDefault="00FB3A21" w:rsidP="00FB3A21">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097327">
        <w:rPr>
          <w:rFonts w:ascii="Times New Roman" w:eastAsia="Times New Roman" w:hAnsi="Times New Roman"/>
          <w:sz w:val="24"/>
          <w:szCs w:val="24"/>
        </w:rPr>
        <w:t>piedāvātās iekārtas montāžas plāns</w:t>
      </w:r>
      <w:r w:rsidR="00097327">
        <w:rPr>
          <w:rFonts w:ascii="Times New Roman" w:eastAsia="Times New Roman" w:hAnsi="Times New Roman"/>
          <w:sz w:val="24"/>
          <w:szCs w:val="24"/>
        </w:rPr>
        <w:t>- rasējums</w:t>
      </w:r>
      <w:r w:rsidRPr="00097327">
        <w:rPr>
          <w:rFonts w:ascii="Times New Roman" w:eastAsia="Times New Roman" w:hAnsi="Times New Roman"/>
          <w:sz w:val="24"/>
          <w:szCs w:val="24"/>
        </w:rPr>
        <w:t>;</w:t>
      </w:r>
    </w:p>
    <w:p w14:paraId="1FEC7925" w14:textId="6AECAD0F" w:rsidR="009A78AB" w:rsidRPr="009A4C41" w:rsidRDefault="009A4C41" w:rsidP="009A4C41">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9A4C41">
        <w:rPr>
          <w:rFonts w:ascii="Times New Roman" w:eastAsia="Times New Roman" w:hAnsi="Times New Roman"/>
          <w:sz w:val="24"/>
          <w:szCs w:val="24"/>
        </w:rPr>
        <w:t>Pretendenta Finanšu piedāvājums (sagatavots atbilstoši iepirkuma nolikuma 4.</w:t>
      </w:r>
      <w:r>
        <w:rPr>
          <w:rFonts w:ascii="Times New Roman" w:eastAsia="Times New Roman" w:hAnsi="Times New Roman"/>
          <w:sz w:val="24"/>
          <w:szCs w:val="24"/>
        </w:rPr>
        <w:t>pielikumam).</w:t>
      </w:r>
    </w:p>
    <w:p w14:paraId="678C8B74" w14:textId="77777777" w:rsidR="00DC7C4E" w:rsidRDefault="00DC7C4E" w:rsidP="00A42FBD">
      <w:pPr>
        <w:ind w:right="66"/>
        <w:jc w:val="both"/>
        <w:rPr>
          <w:rFonts w:eastAsia="Calibri"/>
          <w:sz w:val="24"/>
          <w:szCs w:val="24"/>
        </w:rPr>
      </w:pPr>
    </w:p>
    <w:p w14:paraId="15CEE1CC" w14:textId="77777777" w:rsidR="00DC7C4E" w:rsidRPr="00C45D83" w:rsidRDefault="00DC7C4E" w:rsidP="00A42FBD">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A42FBD">
      <w:pPr>
        <w:ind w:left="180" w:right="66"/>
        <w:jc w:val="center"/>
        <w:rPr>
          <w:rFonts w:eastAsia="Calibri"/>
          <w:b/>
          <w:sz w:val="24"/>
          <w:szCs w:val="24"/>
        </w:rPr>
      </w:pPr>
    </w:p>
    <w:p w14:paraId="1FEFEE50" w14:textId="412ED368" w:rsidR="00DC7C4E" w:rsidRPr="00325190" w:rsidRDefault="00802291" w:rsidP="00A42FBD">
      <w:pPr>
        <w:widowControl/>
        <w:numPr>
          <w:ilvl w:val="0"/>
          <w:numId w:val="2"/>
        </w:numPr>
        <w:autoSpaceDE/>
        <w:ind w:left="567" w:hanging="425"/>
        <w:jc w:val="both"/>
        <w:rPr>
          <w:sz w:val="24"/>
          <w:szCs w:val="24"/>
        </w:rPr>
      </w:pPr>
      <w:r>
        <w:rPr>
          <w:sz w:val="24"/>
          <w:szCs w:val="24"/>
        </w:rPr>
        <w:t>Pretendentam 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A42FBD">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162105AA" w:rsidR="00DC7C4E" w:rsidRPr="00325190" w:rsidRDefault="00BD3261" w:rsidP="00A42FBD">
      <w:pPr>
        <w:widowControl/>
        <w:numPr>
          <w:ilvl w:val="0"/>
          <w:numId w:val="2"/>
        </w:numPr>
        <w:autoSpaceDE/>
        <w:ind w:left="567" w:hanging="425"/>
        <w:jc w:val="both"/>
        <w:rPr>
          <w:sz w:val="24"/>
          <w:szCs w:val="24"/>
        </w:rPr>
      </w:pPr>
      <w:r>
        <w:rPr>
          <w:sz w:val="24"/>
          <w:szCs w:val="24"/>
        </w:rPr>
        <w:t>Pretendentam 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A42FBD">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BD3261">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A42FBD">
      <w:pPr>
        <w:tabs>
          <w:tab w:val="left" w:pos="2340"/>
        </w:tabs>
        <w:ind w:left="360" w:right="66"/>
        <w:jc w:val="center"/>
        <w:rPr>
          <w:b/>
          <w:sz w:val="24"/>
          <w:szCs w:val="24"/>
        </w:rPr>
      </w:pPr>
    </w:p>
    <w:p w14:paraId="49E3273E" w14:textId="77777777" w:rsidR="00DC7C4E" w:rsidRPr="00C45D83" w:rsidRDefault="00DC7C4E" w:rsidP="00A42FBD">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A42FBD">
      <w:pPr>
        <w:tabs>
          <w:tab w:val="left" w:pos="2340"/>
        </w:tabs>
        <w:ind w:left="360" w:right="66"/>
        <w:jc w:val="center"/>
        <w:rPr>
          <w:sz w:val="24"/>
          <w:szCs w:val="24"/>
        </w:rPr>
      </w:pPr>
    </w:p>
    <w:p w14:paraId="0971EDAE" w14:textId="77777777" w:rsidR="00DC7C4E" w:rsidRDefault="00DC7C4E" w:rsidP="00A42FBD">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057E2C">
      <w:pPr>
        <w:pStyle w:val="ListParagraph"/>
        <w:numPr>
          <w:ilvl w:val="1"/>
          <w:numId w:val="41"/>
        </w:numPr>
        <w:spacing w:after="0"/>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057E2C">
      <w:pPr>
        <w:pStyle w:val="ListParagraph"/>
        <w:numPr>
          <w:ilvl w:val="1"/>
          <w:numId w:val="41"/>
        </w:numPr>
        <w:spacing w:after="0"/>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057E2C">
      <w:pPr>
        <w:pStyle w:val="ListParagraph"/>
        <w:numPr>
          <w:ilvl w:val="2"/>
          <w:numId w:val="41"/>
        </w:numPr>
        <w:spacing w:after="0"/>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057E2C">
      <w:pPr>
        <w:pStyle w:val="ListParagraph"/>
        <w:numPr>
          <w:ilvl w:val="2"/>
          <w:numId w:val="41"/>
        </w:numPr>
        <w:spacing w:after="0"/>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50D36E0F" w:rsidR="00DC7C4E" w:rsidRPr="00057E2C" w:rsidRDefault="00BD3261" w:rsidP="00057E2C">
      <w:pPr>
        <w:pStyle w:val="ListParagraph"/>
        <w:numPr>
          <w:ilvl w:val="1"/>
          <w:numId w:val="41"/>
        </w:numPr>
        <w:spacing w:after="0"/>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r w:rsidR="00DC7C4E" w:rsidRPr="00057E2C">
        <w:rPr>
          <w:rFonts w:ascii="Times New Roman" w:hAnsi="Times New Roman"/>
          <w:sz w:val="24"/>
          <w:szCs w:val="24"/>
        </w:rPr>
        <w:t>.</w:t>
      </w:r>
    </w:p>
    <w:p w14:paraId="0198FB50" w14:textId="77777777" w:rsidR="00DC7C4E" w:rsidRDefault="00DC7C4E" w:rsidP="00A42FBD">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A42FBD">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A42FBD">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A42FBD">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12B4392F" w14:textId="19BBBBAC" w:rsidR="00DC7C4E" w:rsidRPr="009C6A24" w:rsidRDefault="00DC7C4E" w:rsidP="00A42FBD">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239243C8" w:rsidR="00DC7C4E" w:rsidRPr="00AD6421" w:rsidRDefault="00DC7C4E" w:rsidP="00A42FBD">
      <w:pPr>
        <w:widowControl/>
        <w:numPr>
          <w:ilvl w:val="0"/>
          <w:numId w:val="2"/>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Pretendentu piedāvātā</w:t>
      </w:r>
      <w:r w:rsidR="00BD3261">
        <w:rPr>
          <w:sz w:val="24"/>
          <w:szCs w:val="24"/>
        </w:rPr>
        <w:t>s</w:t>
      </w:r>
      <w:r w:rsidRPr="00AD6421">
        <w:rPr>
          <w:sz w:val="24"/>
          <w:szCs w:val="24"/>
        </w:rPr>
        <w:t xml:space="preserve"> cena</w:t>
      </w:r>
      <w:r w:rsidR="00BD3261">
        <w:rPr>
          <w:sz w:val="24"/>
          <w:szCs w:val="24"/>
        </w:rPr>
        <w:t>s</w:t>
      </w:r>
      <w:r w:rsidRPr="00AD6421">
        <w:rPr>
          <w:sz w:val="24"/>
          <w:szCs w:val="24"/>
        </w:rPr>
        <w:t xml:space="preserve"> un 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ntos tikai cenu, jo sagatavotā T</w:t>
      </w:r>
      <w:r w:rsidRPr="00AD6421">
        <w:rPr>
          <w:i/>
          <w:sz w:val="24"/>
          <w:szCs w:val="24"/>
        </w:rPr>
        <w:t>ehniskā specifikācija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priekšroka tiks dota tam Pretendentam, kurš būs piedāvājis garāko garantijas termiņu. </w:t>
      </w:r>
      <w:r w:rsidR="00BD3261">
        <w:rPr>
          <w:b/>
          <w:sz w:val="24"/>
          <w:szCs w:val="24"/>
        </w:rPr>
        <w:t>Ja arī garantijas termiņš būs vienāds, uzvarētāja noteikšanai tiks veikta loze</w:t>
      </w:r>
      <w:r>
        <w:rPr>
          <w:b/>
          <w:sz w:val="24"/>
          <w:szCs w:val="24"/>
        </w:rPr>
        <w:t xml:space="preserve">. </w:t>
      </w:r>
      <w:r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AD6421">
        <w:rPr>
          <w:sz w:val="24"/>
          <w:szCs w:val="24"/>
        </w:rPr>
        <w:t>.</w:t>
      </w:r>
    </w:p>
    <w:p w14:paraId="3D9CE59E" w14:textId="77777777" w:rsidR="00DC7C4E" w:rsidRDefault="00DC7C4E" w:rsidP="00A42FBD">
      <w:pPr>
        <w:widowControl/>
        <w:tabs>
          <w:tab w:val="left" w:pos="709"/>
        </w:tabs>
        <w:autoSpaceDE/>
        <w:ind w:left="1070"/>
        <w:jc w:val="both"/>
        <w:rPr>
          <w:sz w:val="24"/>
          <w:szCs w:val="24"/>
        </w:rPr>
      </w:pPr>
    </w:p>
    <w:p w14:paraId="4721C32D" w14:textId="6C0727EF" w:rsidR="00DC7C4E" w:rsidRPr="00C45D83" w:rsidRDefault="00DC7C4E" w:rsidP="00A42FBD">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A42FBD">
      <w:pPr>
        <w:tabs>
          <w:tab w:val="left" w:pos="1134"/>
        </w:tabs>
        <w:ind w:left="360" w:right="66"/>
        <w:jc w:val="center"/>
      </w:pPr>
    </w:p>
    <w:p w14:paraId="6993FBB9" w14:textId="77777777" w:rsidR="005C3A89" w:rsidRDefault="005C3A89" w:rsidP="005C3A89">
      <w:pPr>
        <w:widowControl/>
        <w:numPr>
          <w:ilvl w:val="0"/>
          <w:numId w:val="2"/>
        </w:numPr>
        <w:autoSpaceDE/>
        <w:ind w:left="567" w:hanging="425"/>
        <w:jc w:val="both"/>
        <w:rPr>
          <w:sz w:val="24"/>
          <w:szCs w:val="24"/>
        </w:rPr>
      </w:pPr>
      <w:r>
        <w:rPr>
          <w:sz w:val="24"/>
          <w:szCs w:val="24"/>
        </w:rPr>
        <w:lastRenderedPageBreak/>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77777777" w:rsidR="005C3A89" w:rsidRPr="006749C2" w:rsidRDefault="005C3A89" w:rsidP="005C3A89">
      <w:pPr>
        <w:widowControl/>
        <w:numPr>
          <w:ilvl w:val="0"/>
          <w:numId w:val="2"/>
        </w:numPr>
        <w:autoSpaceDE/>
        <w:ind w:left="567" w:hanging="425"/>
        <w:jc w:val="both"/>
        <w:rPr>
          <w:sz w:val="24"/>
          <w:szCs w:val="24"/>
        </w:rPr>
      </w:pPr>
      <w:r>
        <w:rPr>
          <w:sz w:val="24"/>
          <w:szCs w:val="24"/>
        </w:rPr>
        <w:t xml:space="preserve">Līguma projekts (Nolikuma 5.pielikums)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A42FBD">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A42FBD">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t>VII KOMISIJAS TIESĪBAS UN PIENĀKUMI</w:t>
      </w:r>
    </w:p>
    <w:p w14:paraId="1EA842DC" w14:textId="77777777" w:rsidR="00C45D83" w:rsidRPr="002D1476" w:rsidRDefault="00C45D83" w:rsidP="00A42FBD">
      <w:pPr>
        <w:ind w:left="360"/>
        <w:jc w:val="center"/>
        <w:rPr>
          <w:rFonts w:eastAsia="Calibri"/>
          <w:b/>
          <w:color w:val="000000"/>
          <w:sz w:val="24"/>
          <w:szCs w:val="24"/>
        </w:rPr>
      </w:pPr>
    </w:p>
    <w:p w14:paraId="10743F67"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45900165"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Pr="00BF5F9F">
        <w:rPr>
          <w:rFonts w:ascii="Times New Roman" w:hAnsi="Times New Roman"/>
          <w:sz w:val="24"/>
          <w:szCs w:val="24"/>
        </w:rPr>
        <w:t>us</w:t>
      </w:r>
      <w:proofErr w:type="spellEnd"/>
      <w:r w:rsidRPr="00BF5F9F">
        <w:rPr>
          <w:rFonts w:ascii="Times New Roman" w:hAnsi="Times New Roman"/>
          <w:sz w:val="24"/>
          <w:szCs w:val="24"/>
        </w:rPr>
        <w:t>).</w:t>
      </w:r>
    </w:p>
    <w:p w14:paraId="4731D138" w14:textId="6925EBF2"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p>
    <w:p w14:paraId="5D341F1E" w14:textId="77777777" w:rsidR="002D1476" w:rsidRPr="00057E2C"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BF5F9F">
      <w:pPr>
        <w:pStyle w:val="ListParagraph"/>
        <w:numPr>
          <w:ilvl w:val="2"/>
          <w:numId w:val="47"/>
        </w:numPr>
        <w:tabs>
          <w:tab w:val="left" w:pos="1276"/>
        </w:tabs>
        <w:autoSpaceDN/>
        <w:spacing w:after="0"/>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28F2A585" w:rsidR="002D1476" w:rsidRPr="00057E2C" w:rsidRDefault="002D1476" w:rsidP="00BF5F9F">
      <w:pPr>
        <w:pStyle w:val="ListParagraph"/>
        <w:numPr>
          <w:ilvl w:val="2"/>
          <w:numId w:val="47"/>
        </w:numPr>
        <w:tabs>
          <w:tab w:val="left" w:pos="1276"/>
        </w:tabs>
        <w:autoSpaceDN/>
        <w:spacing w:after="0"/>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 izbeigšanu, neizvēloties nevienu no Pretendentiem, ja atklātā konkursā nav iesniegti piedāvājumi, vai arī iesniegtie piedāvājumi neatbilst noteiktajām prasībām.</w:t>
      </w:r>
    </w:p>
    <w:p w14:paraId="22AD5AE0" w14:textId="7FC4A3DF"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 ja tam ir objektīvs pamatojums.</w:t>
      </w:r>
    </w:p>
    <w:p w14:paraId="6F8406A8" w14:textId="35CFA9EF"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7AB6FC7A"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retendents nav pierādījis, ka tam ir pieejami tādi piedāvājuma nosacījumi, kas ļauj noteikt tik zemu cenu, Komisija atzīst piedāvājumu par nepamatoti lētu un tālāk to neizskata.</w:t>
      </w:r>
    </w:p>
    <w:p w14:paraId="245F970B" w14:textId="0F1CD327"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kopijas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A42FBD">
      <w:pPr>
        <w:ind w:left="360"/>
        <w:jc w:val="center"/>
        <w:rPr>
          <w:rFonts w:eastAsia="Calibri"/>
          <w:b/>
          <w:color w:val="000000"/>
          <w:sz w:val="24"/>
          <w:szCs w:val="24"/>
        </w:rPr>
      </w:pPr>
    </w:p>
    <w:p w14:paraId="43E75B9F" w14:textId="77777777" w:rsidR="00A42FBD"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A42FBD">
      <w:pPr>
        <w:ind w:left="360"/>
        <w:jc w:val="center"/>
        <w:rPr>
          <w:rFonts w:eastAsia="Calibri"/>
          <w:b/>
          <w:color w:val="000000"/>
          <w:sz w:val="24"/>
          <w:szCs w:val="24"/>
        </w:rPr>
      </w:pPr>
    </w:p>
    <w:p w14:paraId="39B4F544"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A42FBD">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BF5F9F">
      <w:pPr>
        <w:pStyle w:val="ListParagraph"/>
        <w:numPr>
          <w:ilvl w:val="1"/>
          <w:numId w:val="48"/>
        </w:numPr>
        <w:spacing w:after="0"/>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BF5F9F">
      <w:pPr>
        <w:pStyle w:val="ListParagraph"/>
        <w:numPr>
          <w:ilvl w:val="1"/>
          <w:numId w:val="48"/>
        </w:numPr>
        <w:spacing w:after="0"/>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BF5F9F">
      <w:pPr>
        <w:pStyle w:val="ListParagraph"/>
        <w:numPr>
          <w:ilvl w:val="1"/>
          <w:numId w:val="48"/>
        </w:numPr>
        <w:spacing w:after="0"/>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74C96264" w:rsidR="002D1476" w:rsidRPr="00057E2C" w:rsidRDefault="002D1476" w:rsidP="00BF5F9F">
      <w:pPr>
        <w:pStyle w:val="ListParagraph"/>
        <w:numPr>
          <w:ilvl w:val="1"/>
          <w:numId w:val="48"/>
        </w:numPr>
        <w:spacing w:after="0"/>
        <w:ind w:left="1276" w:hanging="709"/>
        <w:jc w:val="both"/>
        <w:rPr>
          <w:rFonts w:ascii="Times New Roman" w:hAnsi="Times New Roman"/>
          <w:sz w:val="24"/>
          <w:szCs w:val="24"/>
        </w:rPr>
      </w:pPr>
      <w:r w:rsidRPr="00057E2C">
        <w:rPr>
          <w:rFonts w:ascii="Times New Roman" w:hAnsi="Times New Roman"/>
          <w:sz w:val="24"/>
          <w:szCs w:val="24"/>
        </w:rPr>
        <w:lastRenderedPageBreak/>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nākamo zemāko cenu</w:t>
      </w:r>
      <w:r w:rsidRPr="00057E2C">
        <w:rPr>
          <w:rFonts w:ascii="Times New Roman" w:hAnsi="Times New Roman"/>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A42FBD">
      <w:pPr>
        <w:rPr>
          <w:rFonts w:eastAsia="Calibri"/>
          <w:b/>
          <w:sz w:val="24"/>
          <w:szCs w:val="24"/>
        </w:rPr>
      </w:pPr>
    </w:p>
    <w:p w14:paraId="53D248BF" w14:textId="1554DF37" w:rsidR="002D1476" w:rsidRPr="00953B12" w:rsidRDefault="002D1476" w:rsidP="00A42FBD">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A42FBD">
      <w:pPr>
        <w:ind w:left="360"/>
        <w:jc w:val="center"/>
        <w:rPr>
          <w:rFonts w:eastAsia="Calibri"/>
          <w:b/>
          <w:sz w:val="24"/>
          <w:szCs w:val="24"/>
        </w:rPr>
      </w:pPr>
    </w:p>
    <w:p w14:paraId="6A5BC8D9" w14:textId="32458366"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CD7465B" w14:textId="77777777" w:rsidR="005E73E2" w:rsidRDefault="005E73E2" w:rsidP="005E73E2">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5E73E2">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5E73E2">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5E73E2">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5E73E2">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A42FBD">
      <w:pPr>
        <w:shd w:val="clear" w:color="auto" w:fill="FFFFFF"/>
        <w:tabs>
          <w:tab w:val="left" w:pos="240"/>
        </w:tabs>
        <w:jc w:val="center"/>
        <w:rPr>
          <w:rFonts w:eastAsia="Calibri"/>
          <w:sz w:val="24"/>
          <w:szCs w:val="24"/>
          <w:lang w:eastAsia="en-US"/>
        </w:rPr>
      </w:pPr>
    </w:p>
    <w:p w14:paraId="3F9B5240" w14:textId="5C348FD0" w:rsidR="00794D8D" w:rsidRDefault="00794D8D" w:rsidP="00A42FBD">
      <w:pPr>
        <w:shd w:val="clear" w:color="auto" w:fill="FFFFFF"/>
        <w:tabs>
          <w:tab w:val="left" w:pos="240"/>
        </w:tabs>
        <w:jc w:val="center"/>
        <w:rPr>
          <w:rFonts w:eastAsia="Calibri"/>
          <w:sz w:val="24"/>
          <w:szCs w:val="24"/>
          <w:lang w:eastAsia="en-US"/>
        </w:rPr>
      </w:pPr>
    </w:p>
    <w:p w14:paraId="799F9006" w14:textId="0E075B17" w:rsidR="00794D8D" w:rsidRPr="00794D8D" w:rsidRDefault="00794D8D" w:rsidP="00794D8D">
      <w:pPr>
        <w:tabs>
          <w:tab w:val="right" w:pos="9639"/>
        </w:tabs>
        <w:spacing w:after="120"/>
        <w:jc w:val="both"/>
        <w:rPr>
          <w:rFonts w:eastAsia="Calibri"/>
          <w:sz w:val="24"/>
          <w:szCs w:val="24"/>
        </w:rPr>
      </w:pPr>
      <w:r w:rsidRPr="00794D8D">
        <w:rPr>
          <w:rFonts w:eastAsia="Calibri"/>
          <w:sz w:val="24"/>
          <w:szCs w:val="24"/>
        </w:rPr>
        <w:t xml:space="preserve">Iepirkuma komisijas priekšsēdētāja </w:t>
      </w:r>
      <w:r w:rsidRPr="00794D8D">
        <w:rPr>
          <w:rFonts w:eastAsia="Calibri"/>
          <w:sz w:val="24"/>
          <w:szCs w:val="24"/>
        </w:rPr>
        <w:tab/>
      </w:r>
      <w:proofErr w:type="spellStart"/>
      <w:r>
        <w:rPr>
          <w:rFonts w:eastAsia="Calibri"/>
          <w:sz w:val="24"/>
          <w:szCs w:val="24"/>
        </w:rPr>
        <w:t>S.Divanovska</w:t>
      </w:r>
      <w:proofErr w:type="spellEnd"/>
      <w:r w:rsidRPr="00794D8D">
        <w:rPr>
          <w:rFonts w:eastAsia="Calibri"/>
          <w:sz w:val="24"/>
          <w:szCs w:val="24"/>
        </w:rPr>
        <w:t xml:space="preserve"> </w:t>
      </w:r>
    </w:p>
    <w:p w14:paraId="677DF361" w14:textId="77777777" w:rsidR="00794D8D" w:rsidRPr="0063142C" w:rsidRDefault="00794D8D" w:rsidP="00A42FBD">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4C4E" w14:textId="77777777" w:rsidR="00051036" w:rsidRDefault="00051036">
      <w:r>
        <w:separator/>
      </w:r>
    </w:p>
  </w:endnote>
  <w:endnote w:type="continuationSeparator" w:id="0">
    <w:p w14:paraId="12AEB93D" w14:textId="77777777" w:rsidR="00051036" w:rsidRDefault="0005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altName w:val="Calibri"/>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05E0" w14:textId="77777777" w:rsidR="00051036" w:rsidRDefault="00051036">
      <w:r>
        <w:rPr>
          <w:color w:val="000000"/>
        </w:rPr>
        <w:separator/>
      </w:r>
    </w:p>
  </w:footnote>
  <w:footnote w:type="continuationSeparator" w:id="0">
    <w:p w14:paraId="27FFFBAC" w14:textId="77777777" w:rsidR="00051036" w:rsidRDefault="00051036">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6"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8"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1"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2"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4"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5"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6"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1"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6"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8"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9"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3"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4"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5"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6"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7"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6"/>
  </w:num>
  <w:num w:numId="2">
    <w:abstractNumId w:val="21"/>
  </w:num>
  <w:num w:numId="3">
    <w:abstractNumId w:val="30"/>
  </w:num>
  <w:num w:numId="4">
    <w:abstractNumId w:val="43"/>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9"/>
  </w:num>
  <w:num w:numId="9">
    <w:abstractNumId w:val="15"/>
  </w:num>
  <w:num w:numId="10">
    <w:abstractNumId w:val="33"/>
  </w:num>
  <w:num w:numId="11">
    <w:abstractNumId w:val="32"/>
  </w:num>
  <w:num w:numId="12">
    <w:abstractNumId w:val="38"/>
  </w:num>
  <w:num w:numId="13">
    <w:abstractNumId w:val="27"/>
  </w:num>
  <w:num w:numId="14">
    <w:abstractNumId w:val="8"/>
  </w:num>
  <w:num w:numId="15">
    <w:abstractNumId w:val="41"/>
  </w:num>
  <w:num w:numId="16">
    <w:abstractNumId w:val="13"/>
  </w:num>
  <w:num w:numId="17">
    <w:abstractNumId w:val="0"/>
  </w:num>
  <w:num w:numId="18">
    <w:abstractNumId w:val="17"/>
  </w:num>
  <w:num w:numId="19">
    <w:abstractNumId w:val="22"/>
  </w:num>
  <w:num w:numId="20">
    <w:abstractNumId w:val="1"/>
  </w:num>
  <w:num w:numId="21">
    <w:abstractNumId w:val="40"/>
  </w:num>
  <w:num w:numId="22">
    <w:abstractNumId w:val="36"/>
  </w:num>
  <w:num w:numId="23">
    <w:abstractNumId w:val="28"/>
  </w:num>
  <w:num w:numId="24">
    <w:abstractNumId w:val="44"/>
  </w:num>
  <w:num w:numId="25">
    <w:abstractNumId w:val="14"/>
  </w:num>
  <w:num w:numId="26">
    <w:abstractNumId w:val="31"/>
  </w:num>
  <w:num w:numId="27">
    <w:abstractNumId w:val="24"/>
  </w:num>
  <w:num w:numId="28">
    <w:abstractNumId w:val="3"/>
  </w:num>
  <w:num w:numId="29">
    <w:abstractNumId w:val="37"/>
  </w:num>
  <w:num w:numId="30">
    <w:abstractNumId w:val="46"/>
  </w:num>
  <w:num w:numId="31">
    <w:abstractNumId w:val="5"/>
  </w:num>
  <w:num w:numId="32">
    <w:abstractNumId w:val="42"/>
  </w:num>
  <w:num w:numId="33">
    <w:abstractNumId w:val="26"/>
  </w:num>
  <w:num w:numId="34">
    <w:abstractNumId w:val="35"/>
  </w:num>
  <w:num w:numId="35">
    <w:abstractNumId w:val="12"/>
  </w:num>
  <w:num w:numId="36">
    <w:abstractNumId w:val="2"/>
  </w:num>
  <w:num w:numId="37">
    <w:abstractNumId w:val="39"/>
  </w:num>
  <w:num w:numId="38">
    <w:abstractNumId w:val="18"/>
  </w:num>
  <w:num w:numId="39">
    <w:abstractNumId w:val="45"/>
  </w:num>
  <w:num w:numId="40">
    <w:abstractNumId w:val="19"/>
  </w:num>
  <w:num w:numId="41">
    <w:abstractNumId w:val="7"/>
  </w:num>
  <w:num w:numId="42">
    <w:abstractNumId w:val="4"/>
  </w:num>
  <w:num w:numId="43">
    <w:abstractNumId w:val="47"/>
  </w:num>
  <w:num w:numId="44">
    <w:abstractNumId w:val="11"/>
  </w:num>
  <w:num w:numId="45">
    <w:abstractNumId w:val="20"/>
  </w:num>
  <w:num w:numId="46">
    <w:abstractNumId w:val="16"/>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23D94"/>
    <w:rsid w:val="00025003"/>
    <w:rsid w:val="000267BC"/>
    <w:rsid w:val="000339A4"/>
    <w:rsid w:val="0003625A"/>
    <w:rsid w:val="000401EF"/>
    <w:rsid w:val="00051036"/>
    <w:rsid w:val="00057E2C"/>
    <w:rsid w:val="00062335"/>
    <w:rsid w:val="00066A55"/>
    <w:rsid w:val="000710C6"/>
    <w:rsid w:val="00071249"/>
    <w:rsid w:val="000827EA"/>
    <w:rsid w:val="0008303B"/>
    <w:rsid w:val="00097327"/>
    <w:rsid w:val="000A0E9E"/>
    <w:rsid w:val="000B2809"/>
    <w:rsid w:val="000B394B"/>
    <w:rsid w:val="000C16E2"/>
    <w:rsid w:val="000C6F82"/>
    <w:rsid w:val="000E3E7C"/>
    <w:rsid w:val="000E4BD1"/>
    <w:rsid w:val="000E5A3A"/>
    <w:rsid w:val="000F6840"/>
    <w:rsid w:val="001077C8"/>
    <w:rsid w:val="001145C1"/>
    <w:rsid w:val="001204E8"/>
    <w:rsid w:val="0012453C"/>
    <w:rsid w:val="00136460"/>
    <w:rsid w:val="00144F78"/>
    <w:rsid w:val="00150404"/>
    <w:rsid w:val="00156158"/>
    <w:rsid w:val="00167059"/>
    <w:rsid w:val="00170960"/>
    <w:rsid w:val="00171C69"/>
    <w:rsid w:val="00181455"/>
    <w:rsid w:val="0019307E"/>
    <w:rsid w:val="00195055"/>
    <w:rsid w:val="001C46DB"/>
    <w:rsid w:val="001C5EF9"/>
    <w:rsid w:val="001D1FA1"/>
    <w:rsid w:val="001D212B"/>
    <w:rsid w:val="001F1D95"/>
    <w:rsid w:val="001F5339"/>
    <w:rsid w:val="002026F5"/>
    <w:rsid w:val="002043F8"/>
    <w:rsid w:val="00206FAC"/>
    <w:rsid w:val="00207EF3"/>
    <w:rsid w:val="00213528"/>
    <w:rsid w:val="0022101E"/>
    <w:rsid w:val="0022402F"/>
    <w:rsid w:val="002261F2"/>
    <w:rsid w:val="00227BFB"/>
    <w:rsid w:val="00234A52"/>
    <w:rsid w:val="00241A5F"/>
    <w:rsid w:val="00264909"/>
    <w:rsid w:val="00265FB4"/>
    <w:rsid w:val="00270088"/>
    <w:rsid w:val="00281758"/>
    <w:rsid w:val="002A282A"/>
    <w:rsid w:val="002A2F9D"/>
    <w:rsid w:val="002A456D"/>
    <w:rsid w:val="002B19AC"/>
    <w:rsid w:val="002B2E0E"/>
    <w:rsid w:val="002B716B"/>
    <w:rsid w:val="002C2930"/>
    <w:rsid w:val="002C5F65"/>
    <w:rsid w:val="002C616C"/>
    <w:rsid w:val="002D1476"/>
    <w:rsid w:val="002D6384"/>
    <w:rsid w:val="002D7BB3"/>
    <w:rsid w:val="002E57EE"/>
    <w:rsid w:val="002F172A"/>
    <w:rsid w:val="002F536E"/>
    <w:rsid w:val="002F5BA0"/>
    <w:rsid w:val="00307D74"/>
    <w:rsid w:val="00311597"/>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7453"/>
    <w:rsid w:val="003D2D8B"/>
    <w:rsid w:val="003E0C48"/>
    <w:rsid w:val="003E31B5"/>
    <w:rsid w:val="003E34A1"/>
    <w:rsid w:val="003E3BE7"/>
    <w:rsid w:val="003E7103"/>
    <w:rsid w:val="00404480"/>
    <w:rsid w:val="00413B58"/>
    <w:rsid w:val="00416847"/>
    <w:rsid w:val="004172EB"/>
    <w:rsid w:val="0042710E"/>
    <w:rsid w:val="00432442"/>
    <w:rsid w:val="00444E4A"/>
    <w:rsid w:val="00456DA6"/>
    <w:rsid w:val="00460692"/>
    <w:rsid w:val="00463EFE"/>
    <w:rsid w:val="004673F5"/>
    <w:rsid w:val="004731C7"/>
    <w:rsid w:val="00473B9C"/>
    <w:rsid w:val="004740AB"/>
    <w:rsid w:val="004962B5"/>
    <w:rsid w:val="004B02E5"/>
    <w:rsid w:val="004B1622"/>
    <w:rsid w:val="004B2569"/>
    <w:rsid w:val="004B3F69"/>
    <w:rsid w:val="004C21E1"/>
    <w:rsid w:val="004C2B36"/>
    <w:rsid w:val="004E40B0"/>
    <w:rsid w:val="004F681C"/>
    <w:rsid w:val="004F75F4"/>
    <w:rsid w:val="00501605"/>
    <w:rsid w:val="005018AD"/>
    <w:rsid w:val="0052012C"/>
    <w:rsid w:val="00524D70"/>
    <w:rsid w:val="005416D2"/>
    <w:rsid w:val="00561317"/>
    <w:rsid w:val="0057411C"/>
    <w:rsid w:val="00587802"/>
    <w:rsid w:val="00594562"/>
    <w:rsid w:val="005A12AB"/>
    <w:rsid w:val="005B6122"/>
    <w:rsid w:val="005B7FED"/>
    <w:rsid w:val="005C31C3"/>
    <w:rsid w:val="005C3A89"/>
    <w:rsid w:val="005C4862"/>
    <w:rsid w:val="005E73E2"/>
    <w:rsid w:val="005F3341"/>
    <w:rsid w:val="00601BED"/>
    <w:rsid w:val="0062462F"/>
    <w:rsid w:val="006309BB"/>
    <w:rsid w:val="0063142C"/>
    <w:rsid w:val="00634C6F"/>
    <w:rsid w:val="00637264"/>
    <w:rsid w:val="00640F56"/>
    <w:rsid w:val="00644800"/>
    <w:rsid w:val="00644C7E"/>
    <w:rsid w:val="00651BFA"/>
    <w:rsid w:val="00652AED"/>
    <w:rsid w:val="00667866"/>
    <w:rsid w:val="00670ED1"/>
    <w:rsid w:val="006821A6"/>
    <w:rsid w:val="00682633"/>
    <w:rsid w:val="006904A4"/>
    <w:rsid w:val="006921D8"/>
    <w:rsid w:val="006D5D15"/>
    <w:rsid w:val="006D79EF"/>
    <w:rsid w:val="006E1DE0"/>
    <w:rsid w:val="006E214D"/>
    <w:rsid w:val="006E4C66"/>
    <w:rsid w:val="006E720A"/>
    <w:rsid w:val="006F5371"/>
    <w:rsid w:val="0070196C"/>
    <w:rsid w:val="00706960"/>
    <w:rsid w:val="00714CEA"/>
    <w:rsid w:val="007166A0"/>
    <w:rsid w:val="00725E2D"/>
    <w:rsid w:val="00726BB2"/>
    <w:rsid w:val="00727807"/>
    <w:rsid w:val="00730D4D"/>
    <w:rsid w:val="0074672D"/>
    <w:rsid w:val="00747642"/>
    <w:rsid w:val="0075038D"/>
    <w:rsid w:val="007509B5"/>
    <w:rsid w:val="00755B88"/>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206D8"/>
    <w:rsid w:val="00823493"/>
    <w:rsid w:val="0083371A"/>
    <w:rsid w:val="00833FA7"/>
    <w:rsid w:val="00834FAC"/>
    <w:rsid w:val="00844CFA"/>
    <w:rsid w:val="00846918"/>
    <w:rsid w:val="00847824"/>
    <w:rsid w:val="0085166D"/>
    <w:rsid w:val="008568D2"/>
    <w:rsid w:val="008568E2"/>
    <w:rsid w:val="00856CE2"/>
    <w:rsid w:val="008675C8"/>
    <w:rsid w:val="00870958"/>
    <w:rsid w:val="00872ACA"/>
    <w:rsid w:val="00872E25"/>
    <w:rsid w:val="00884030"/>
    <w:rsid w:val="00885492"/>
    <w:rsid w:val="00886EFC"/>
    <w:rsid w:val="0089451A"/>
    <w:rsid w:val="008946BE"/>
    <w:rsid w:val="00897A0F"/>
    <w:rsid w:val="008B6E5B"/>
    <w:rsid w:val="008D207A"/>
    <w:rsid w:val="008E67F8"/>
    <w:rsid w:val="008E723A"/>
    <w:rsid w:val="008F11B3"/>
    <w:rsid w:val="008F1D4B"/>
    <w:rsid w:val="00902B41"/>
    <w:rsid w:val="00916F21"/>
    <w:rsid w:val="0092019A"/>
    <w:rsid w:val="009207EB"/>
    <w:rsid w:val="009351A4"/>
    <w:rsid w:val="00936B48"/>
    <w:rsid w:val="00941730"/>
    <w:rsid w:val="00942F74"/>
    <w:rsid w:val="00945382"/>
    <w:rsid w:val="009463EF"/>
    <w:rsid w:val="00953B12"/>
    <w:rsid w:val="00965AC0"/>
    <w:rsid w:val="00972099"/>
    <w:rsid w:val="00977605"/>
    <w:rsid w:val="00985E6C"/>
    <w:rsid w:val="009A4055"/>
    <w:rsid w:val="009A4C41"/>
    <w:rsid w:val="009A78AB"/>
    <w:rsid w:val="009B1478"/>
    <w:rsid w:val="009B3CFE"/>
    <w:rsid w:val="009B63C5"/>
    <w:rsid w:val="00A0653D"/>
    <w:rsid w:val="00A175C6"/>
    <w:rsid w:val="00A20C9F"/>
    <w:rsid w:val="00A31E3B"/>
    <w:rsid w:val="00A33488"/>
    <w:rsid w:val="00A3354B"/>
    <w:rsid w:val="00A42FBD"/>
    <w:rsid w:val="00A430DB"/>
    <w:rsid w:val="00A45F7B"/>
    <w:rsid w:val="00A570B3"/>
    <w:rsid w:val="00A81F28"/>
    <w:rsid w:val="00A82A98"/>
    <w:rsid w:val="00A91140"/>
    <w:rsid w:val="00A92265"/>
    <w:rsid w:val="00AA203F"/>
    <w:rsid w:val="00AA7867"/>
    <w:rsid w:val="00AB4B95"/>
    <w:rsid w:val="00AE1057"/>
    <w:rsid w:val="00AE142F"/>
    <w:rsid w:val="00AE7988"/>
    <w:rsid w:val="00AF24F2"/>
    <w:rsid w:val="00B1174B"/>
    <w:rsid w:val="00B22210"/>
    <w:rsid w:val="00B43F2E"/>
    <w:rsid w:val="00B50B4D"/>
    <w:rsid w:val="00B543F3"/>
    <w:rsid w:val="00B72660"/>
    <w:rsid w:val="00B80341"/>
    <w:rsid w:val="00B8233F"/>
    <w:rsid w:val="00B91CFE"/>
    <w:rsid w:val="00B95C32"/>
    <w:rsid w:val="00B96126"/>
    <w:rsid w:val="00B96EC1"/>
    <w:rsid w:val="00BB02CD"/>
    <w:rsid w:val="00BB1F90"/>
    <w:rsid w:val="00BB2C57"/>
    <w:rsid w:val="00BB3AA3"/>
    <w:rsid w:val="00BB4450"/>
    <w:rsid w:val="00BB5084"/>
    <w:rsid w:val="00BC1F1A"/>
    <w:rsid w:val="00BD3261"/>
    <w:rsid w:val="00BD35AE"/>
    <w:rsid w:val="00BD581D"/>
    <w:rsid w:val="00BF3B9E"/>
    <w:rsid w:val="00BF5F9F"/>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FA7"/>
    <w:rsid w:val="00C81810"/>
    <w:rsid w:val="00C8360F"/>
    <w:rsid w:val="00C84B8A"/>
    <w:rsid w:val="00C96016"/>
    <w:rsid w:val="00CA7FC3"/>
    <w:rsid w:val="00CC0535"/>
    <w:rsid w:val="00CC5332"/>
    <w:rsid w:val="00CC79B3"/>
    <w:rsid w:val="00CD5E67"/>
    <w:rsid w:val="00CF4C59"/>
    <w:rsid w:val="00CF5DEE"/>
    <w:rsid w:val="00D00710"/>
    <w:rsid w:val="00D00E55"/>
    <w:rsid w:val="00D230D7"/>
    <w:rsid w:val="00D34ACA"/>
    <w:rsid w:val="00D34B5C"/>
    <w:rsid w:val="00D42248"/>
    <w:rsid w:val="00D43C42"/>
    <w:rsid w:val="00D463D2"/>
    <w:rsid w:val="00D46CD8"/>
    <w:rsid w:val="00D86306"/>
    <w:rsid w:val="00D87627"/>
    <w:rsid w:val="00DA186F"/>
    <w:rsid w:val="00DA1F61"/>
    <w:rsid w:val="00DA4001"/>
    <w:rsid w:val="00DA7707"/>
    <w:rsid w:val="00DC7C4E"/>
    <w:rsid w:val="00DD7B99"/>
    <w:rsid w:val="00DF2E66"/>
    <w:rsid w:val="00DF313D"/>
    <w:rsid w:val="00DF6B2E"/>
    <w:rsid w:val="00E044DF"/>
    <w:rsid w:val="00E1217F"/>
    <w:rsid w:val="00E1766F"/>
    <w:rsid w:val="00E23B74"/>
    <w:rsid w:val="00E33A33"/>
    <w:rsid w:val="00E34284"/>
    <w:rsid w:val="00E3475A"/>
    <w:rsid w:val="00E437F4"/>
    <w:rsid w:val="00E44676"/>
    <w:rsid w:val="00E44AB3"/>
    <w:rsid w:val="00E50D4F"/>
    <w:rsid w:val="00E54D75"/>
    <w:rsid w:val="00E61A6A"/>
    <w:rsid w:val="00E81217"/>
    <w:rsid w:val="00E825E5"/>
    <w:rsid w:val="00E84D15"/>
    <w:rsid w:val="00EA268B"/>
    <w:rsid w:val="00EB34F0"/>
    <w:rsid w:val="00EB6B72"/>
    <w:rsid w:val="00EB6BB9"/>
    <w:rsid w:val="00EC5010"/>
    <w:rsid w:val="00ED0ED5"/>
    <w:rsid w:val="00EE74B9"/>
    <w:rsid w:val="00EF1DD9"/>
    <w:rsid w:val="00EF1FB2"/>
    <w:rsid w:val="00F05B5B"/>
    <w:rsid w:val="00F154AA"/>
    <w:rsid w:val="00F1630E"/>
    <w:rsid w:val="00F270B9"/>
    <w:rsid w:val="00F32DEF"/>
    <w:rsid w:val="00F3689E"/>
    <w:rsid w:val="00F451FE"/>
    <w:rsid w:val="00F45D7C"/>
    <w:rsid w:val="00F47D4A"/>
    <w:rsid w:val="00F61614"/>
    <w:rsid w:val="00F66125"/>
    <w:rsid w:val="00F75A24"/>
    <w:rsid w:val="00F812E3"/>
    <w:rsid w:val="00F83686"/>
    <w:rsid w:val="00FA4A11"/>
    <w:rsid w:val="00FA6E6C"/>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520E-B7DB-4D5A-A0C5-882EBD54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13656</Words>
  <Characters>7784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21</cp:revision>
  <cp:lastPrinted>2016-03-31T11:26:00Z</cp:lastPrinted>
  <dcterms:created xsi:type="dcterms:W3CDTF">2018-03-12T06:06:00Z</dcterms:created>
  <dcterms:modified xsi:type="dcterms:W3CDTF">2018-03-15T13:56:00Z</dcterms:modified>
</cp:coreProperties>
</file>